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val="en-US" w:eastAsia="zh-CN"/>
        </w:rPr>
        <w:t>新密市新型工业用地出让流程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一、项目申请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意向用地单位向产业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集聚区管委会或属地政府提出申请，由产业集聚区管委会或属地政府牵头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成立的新型产业投资项目准入评估机构对申请项目进行初审，对符合准入条件的用地项目出具初审意见，报市领导小组办公室。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二、资格审查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由市领导小组办公室组织市发展改革委、市科工信局、市财政局、市资源规划局、市生态环境局等部门，对新型工业投资项目准入进行评审，对符合准入条件的用地企业出具审查意见，并报市领导小组，作为审核新型工业用地出让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三、土地出让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市资源规划局提出规划指标，编制出让方案，报市政府批准后采用招标、拍卖、挂牌等方式公开出让。土地出让合同签订前，先由产业集聚区管委会，各乡镇政府、街道办事处与受让单位签订《投资建设合同》和《工业用地项目监管协议》，明确土地投入、产出、亩均税收等达产验收指标和达产验收期限，以及相应的违约处置措施;再由市资源规划局与受让单位签订正式《国有建设用地使用权出让合同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四、达产验收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由市领导小组办公室牵头，市发展改革委、市科工信局、市财政局、市资源规划局、市生态环境局，产业集聚区管委会，各乡镇政府、街道办事处等配合，成立新型产业投资项目达产验收评估工作小组，根据项目准入条件、《投资建设合同》和《工业用地项目监管协议》要求开展达产验收工作。通过验收的，出具《新密市新型工业用地投资项目达产验收意见书》。到期验收未通过的，严格按照《投资建设合同》和《工业用地项目监管协议》或《土地出让合同》中的有关约定处置。违约责任应在《投资建设合同》和《工业用地项目监管协议》或《土地出让合同》中予以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73" w:firstLineChars="148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2022-02-10T08:52:14Z</dcterms:created>
  <dc:creator>Administrator</dc:creator>
  <cp:lastModifiedBy>Administrator</cp:lastModifiedBy>
  <dcterms:modified xsi:type="dcterms:W3CDTF">2022-02-10T08:52:40Z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