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  <w:t>新密市新型工业用地投资项目资格审查办法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为促进新型产业发展，规范新型工业用地管理工作，特制定本办法。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一、新型工业目录用地准入条件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新型工业用地投资项目须符合下列产业目录:</w:t>
      </w:r>
    </w:p>
    <w:tbl>
      <w:tblPr>
        <w:tblStyle w:val="3"/>
        <w:tblW w:w="0" w:type="auto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80"/>
        <w:gridCol w:w="2610"/>
        <w:gridCol w:w="2763"/>
        <w:gridCol w:w="1775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  <w:jc w:val="center"/>
        </w:trPr>
        <w:tc>
          <w:tcPr>
            <w:tcW w:w="53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0000FF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val="zh-CN" w:eastAsia="zh-CN" w:bidi="zh-CN"/>
              </w:rPr>
              <w:t>序号</w:t>
            </w:r>
          </w:p>
        </w:tc>
        <w:tc>
          <w:tcPr>
            <w:tcW w:w="1280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zh-CN" w:eastAsia="zh-CN" w:bidi="zh-CN"/>
              </w:rPr>
              <w:t>产业名称</w:t>
            </w:r>
          </w:p>
        </w:tc>
        <w:tc>
          <w:tcPr>
            <w:tcW w:w="2610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zh-CN" w:eastAsia="zh-CN" w:bidi="zh-CN"/>
              </w:rPr>
              <w:t>一级分类</w:t>
            </w:r>
          </w:p>
        </w:tc>
        <w:tc>
          <w:tcPr>
            <w:tcW w:w="2763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zh-CN" w:eastAsia="zh-CN" w:bidi="zh-CN"/>
              </w:rPr>
              <w:t>二级分类</w:t>
            </w:r>
          </w:p>
        </w:tc>
        <w:tc>
          <w:tcPr>
            <w:tcW w:w="1775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zh-CN" w:eastAsia="zh-CN" w:bidi="zh-CN"/>
              </w:rPr>
              <w:t>产业说明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atLeast"/>
          <w:jc w:val="center"/>
        </w:trPr>
        <w:tc>
          <w:tcPr>
            <w:tcW w:w="534" w:type="dxa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FF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FF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FF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FF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FF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FF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FF"/>
                <w:kern w:val="0"/>
                <w:sz w:val="24"/>
                <w:szCs w:val="24"/>
                <w:lang w:val="zh-CN" w:eastAsia="zh-CN"/>
              </w:rPr>
              <w:t>一</w:t>
            </w:r>
          </w:p>
        </w:tc>
        <w:tc>
          <w:tcPr>
            <w:tcW w:w="1280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新一代信息技术产业</w:t>
            </w: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下一代信息网络产业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网络设备、信息终端设备、新一代信息技术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(5G等)</w:t>
            </w:r>
          </w:p>
        </w:tc>
        <w:tc>
          <w:tcPr>
            <w:tcW w:w="1775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设计、研究中心、实验室、总部、结算中心、检验 检测中心等。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534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电子核心产业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集成电路、新型显示器件、智能传感器等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534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软件和信息技术服务业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软件开发、网络安全（信息安全）和信息技术服务等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 w:hRule="atLeast"/>
          <w:jc w:val="center"/>
        </w:trPr>
        <w:tc>
          <w:tcPr>
            <w:tcW w:w="534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互联网、云计算、大数据产业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工业互联网及支持服务、移动联网及支持服务、互联网平台服务、物联网平台服务、云计算与大数据服务等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534" w:type="dxa"/>
            <w:vMerge w:val="continue"/>
            <w:tcBorders>
              <w:top w:val="nil"/>
              <w:bottom w:val="single" w:color="auto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人工智能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人工智能软件、人工智能平台、人工智能硬件及服务等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高端装备制造业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智能制造装备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机器人、增材制造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(3D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打印)、精密数控机床及相关产业，智能制造服务等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设计、研究中心、制造业创新中心、实验室、总 部、结算中心、检验检测中心等。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1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航空航天和卫星及应用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飞机制造及相关产业、卫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星及应用产业(北斗导航)等</w:t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轨道交通装备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轨道交通及相关产业等</w:t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高端成套装备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电力装备、工程装备、环保装备、军工装备等新兴产业装备</w:t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534" w:type="dxa"/>
            <w:vMerge w:val="restart"/>
            <w:tcBorders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 xml:space="preserve">3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0" w:type="dxa"/>
            <w:vMerge w:val="restart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新材料产业</w:t>
            </w:r>
          </w:p>
        </w:tc>
        <w:tc>
          <w:tcPr>
            <w:tcW w:w="2610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先进基础材料</w:t>
            </w:r>
          </w:p>
        </w:tc>
        <w:tc>
          <w:tcPr>
            <w:tcW w:w="2763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先进有色金属材料，先进无机非金属材料，先进建筑材料等</w:t>
            </w:r>
          </w:p>
        </w:tc>
        <w:tc>
          <w:tcPr>
            <w:tcW w:w="1775" w:type="dxa"/>
            <w:vMerge w:val="restart"/>
            <w:tcBorders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设计、研究中心、制造业创新中心、实验室、总 部、结算中心、检验检测中心等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8" w:hRule="atLeast"/>
          <w:jc w:val="center"/>
        </w:trPr>
        <w:tc>
          <w:tcPr>
            <w:tcW w:w="534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关键战略材料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高端装备用特种合金、高性能分离膜材料，高性能纤维及复合材料，宽禁带半导体材料和新型显示材料，生物医用材料等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534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前沿新材料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石墨烯、金属及高分子增材制造材料，智能仿生与超材料等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534" w:type="dxa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 xml:space="preserve">4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生物医药</w:t>
            </w: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现代医药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生物药品、化学药品、现代中药与民族药、兽药等</w:t>
            </w:r>
          </w:p>
        </w:tc>
        <w:tc>
          <w:tcPr>
            <w:tcW w:w="1775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设计、研究中心、制造业创新中 心、检验检测、实验室、总部、结算中心、检验检测中心等。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  <w:jc w:val="center"/>
        </w:trPr>
        <w:tc>
          <w:tcPr>
            <w:tcW w:w="534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先进医疗设备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医学影像设备、先进治疗设备、康复医疗器械、医用检查检验仪器等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  <w:jc w:val="center"/>
        </w:trPr>
        <w:tc>
          <w:tcPr>
            <w:tcW w:w="534" w:type="dxa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新能源汽车产业</w:t>
            </w: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新能源汽车产品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新能源整车、特种改装车、电机及其控制系统、机电耦合系统、燃料电池系统及核心零部件等</w:t>
            </w:r>
          </w:p>
        </w:tc>
        <w:tc>
          <w:tcPr>
            <w:tcW w:w="1775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设计、研究中心、制造业创新中心、实验室、总部、结算中心、检验检测中心等。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534" w:type="dxa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新能源配套设施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充电、换电及加氢设施， 生产测试设备等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534" w:type="dxa"/>
            <w:vMerge w:val="restart"/>
            <w:tcBorders>
              <w:top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/>
              </w:rPr>
              <w:t xml:space="preserve">6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数字创意产业</w:t>
            </w: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数字文化创意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数字文化创意技术装备、软件、内容制作、新型媒体服务等</w:t>
            </w:r>
          </w:p>
        </w:tc>
        <w:tc>
          <w:tcPr>
            <w:tcW w:w="1775" w:type="dxa"/>
            <w:vMerge w:val="restart"/>
            <w:tcBorders>
              <w:top w:val="single" w:color="231F20" w:sz="4" w:space="0"/>
              <w:lef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设计、总部、结算中心等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534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0" w:beforeLines="0" w:after="0" w:afterLines="0" w:line="46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0" w:beforeLines="0" w:after="0" w:afterLines="0" w:line="46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1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0" w:beforeLines="0" w:after="0" w:afterLines="0" w:line="46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设计服务</w:t>
            </w:r>
          </w:p>
        </w:tc>
        <w:tc>
          <w:tcPr>
            <w:tcW w:w="2763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0" w:beforeLines="0" w:after="0" w:afterLines="0" w:line="46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 w:eastAsia="zh-CN"/>
              </w:rPr>
              <w:t>工业设计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0" w:beforeLines="0" w:after="0" w:afterLines="0" w:line="460" w:lineRule="exact"/>
              <w:ind w:left="0" w:leftChars="0" w:right="0" w:rightChars="0" w:firstLine="355" w:firstLineChars="148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二、新型工业用地适用范围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全市范围。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三、新型工业投资项目资格评审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由新型工业用地领导小组办公室牵头，成立项目资格评估小组，负责对项目进行资格审查，评审意见报市领导小组。评估小组成员由市发展改革委、市科工信局、市财政局、市商务局、市资源规划局、市生态环境局等部门分管领导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四、项目申报程序及应提供的材料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项目所在地的产业集聚区管委会或各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乡镇政府、街道办事处向新型工业用地领导小组办公室申报，申报时应提供以下材料: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（一）产业集聚区管委会，各乡镇政府、街道办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事处上报文；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（二）项目情况介绍，内容包括:项目的背景和必要性（或可研报告），企业基本情况和财务情况、投资项目基本情况、产品的先进性、研发人员数量及研发投入;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（三）产品属于国家重点支持高新技术领域范围的证明材料、高新企业证书、产品专利证书;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73" w:firstLineChars="148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（四）其它相关材料。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2022-02-10T08:53:11Z</dcterms:created>
  <dc:creator>Administrator</dc:creator>
  <cp:lastModifiedBy>Administrator</cp:lastModifiedBy>
  <dcterms:modified xsi:type="dcterms:W3CDTF">2022-02-10T08:53:34Z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