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line="375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新密市人口和计划生育委员会</w:t>
      </w:r>
    </w:p>
    <w:p>
      <w:pPr>
        <w:pStyle w:val="2"/>
        <w:widowControl/>
        <w:spacing w:line="375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201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年度部门预算</w:t>
      </w:r>
    </w:p>
    <w:p>
      <w:pPr>
        <w:pStyle w:val="2"/>
        <w:widowControl/>
        <w:spacing w:line="375" w:lineRule="atLeast"/>
        <w:rPr>
          <w:rFonts w:hint="eastAsia" w:ascii="黑体" w:hAnsi="黑体" w:eastAsia="黑体" w:cs="黑体"/>
        </w:rPr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 xml:space="preserve">一、新密市人口和计划生育委员会概况 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 xml:space="preserve">（一）主要职能 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建立人口发展战略研究计划，编制、实施人口发展规划；继续稳定低生育水平，每年按计划完成人口出生率、人口自然增长率、符合政策生育率；提高出生人口素质，综合治理出生人口性别比偏高问题；加强流动人口计划生育管理和服务工作，完善利益导向政策体系，加强人口和计划生育机构和队伍建设；实行人口和计划生育目标管理，落实“一票否决”，建立、健全人口和计划生育工作综合协调机制与检查考核制度，做好定期督办和检查评估工作。</w:t>
      </w:r>
    </w:p>
    <w:p>
      <w:pPr>
        <w:pStyle w:val="2"/>
        <w:widowControl/>
        <w:spacing w:line="375" w:lineRule="atLeast"/>
      </w:pPr>
      <w:r>
        <w:rPr>
          <w:color w:val="000000"/>
          <w:sz w:val="18"/>
          <w:szCs w:val="18"/>
        </w:rPr>
        <w:t> 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（二）人员编制情况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新密市人口和计划生育委员会201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年度部门预算人员编制共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116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人，其中行政人员1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人，事业人员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103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人，工勤人员1人。</w:t>
      </w:r>
    </w:p>
    <w:p>
      <w:pPr>
        <w:pStyle w:val="2"/>
        <w:widowControl/>
        <w:spacing w:line="375" w:lineRule="atLeast"/>
      </w:pPr>
      <w:r>
        <w:rPr>
          <w:color w:val="000000"/>
          <w:sz w:val="18"/>
          <w:szCs w:val="18"/>
        </w:rPr>
        <w:t> 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>二、新密市人口和计划生育委员会201</w:t>
      </w:r>
      <w:r>
        <w:rPr>
          <w:rFonts w:hint="eastAsia" w:ascii="黑体" w:hAnsi="黑体" w:eastAsia="黑体" w:cs="黑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>年部门预算表（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详见附表）</w:t>
      </w:r>
    </w:p>
    <w:p>
      <w:pPr>
        <w:pStyle w:val="2"/>
        <w:widowControl/>
        <w:spacing w:line="375" w:lineRule="atLeast"/>
      </w:pPr>
      <w:r>
        <w:rPr>
          <w:color w:val="000000"/>
          <w:sz w:val="18"/>
          <w:szCs w:val="18"/>
        </w:rPr>
        <w:t> </w:t>
      </w:r>
    </w:p>
    <w:p>
      <w:pPr>
        <w:pStyle w:val="2"/>
        <w:widowControl/>
        <w:spacing w:line="375" w:lineRule="atLeast"/>
        <w:rPr>
          <w:rFonts w:hint="eastAsia" w:ascii="黑体" w:hAnsi="黑体" w:eastAsia="黑体" w:cs="黑体"/>
        </w:rPr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>三、新密市人口和计划生育委员会201</w:t>
      </w:r>
      <w:r>
        <w:rPr>
          <w:rFonts w:hint="eastAsia" w:ascii="黑体" w:hAnsi="黑体" w:eastAsia="黑体" w:cs="黑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>年部门预算说明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（一）201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年度部门预算收支总体情况说明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eastAsia="宋体" w:cs="宋体"/>
          <w:color w:val="000000"/>
          <w:sz w:val="27"/>
          <w:szCs w:val="27"/>
        </w:rPr>
        <w:t>201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年度预算总收入2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454.35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万元，其中：财政拨款收入1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884.35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万元，缴入国库的行政事业性收费及罚没收入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250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,其他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收入320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万元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。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eastAsia="宋体" w:cs="宋体"/>
          <w:color w:val="000000"/>
          <w:sz w:val="27"/>
          <w:szCs w:val="27"/>
        </w:rPr>
        <w:t>201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年度预算总支出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2454.35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万元，其中：工资福利支出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774.41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万元，商品服务支出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188.94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万元，住房公积金支出34万元，项目支出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1457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万元。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（二）人员经费预算情况说明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eastAsia="宋体" w:cs="宋体"/>
          <w:color w:val="000000"/>
          <w:sz w:val="27"/>
          <w:szCs w:val="27"/>
        </w:rPr>
        <w:t>201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年度人员经费预算支出为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774.41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万元，其中：行政人员经费预算支出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64.48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万元，事业人员经费预算支出7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09.93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万元。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（三）公用及运转支出预算情况说明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eastAsia="宋体" w:cs="宋体"/>
          <w:color w:val="000000"/>
          <w:sz w:val="27"/>
          <w:szCs w:val="27"/>
        </w:rPr>
        <w:t>201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年度基本支出预算为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997.35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万元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（四）项目支出预算情况说明</w:t>
      </w:r>
    </w:p>
    <w:p>
      <w:pPr>
        <w:pStyle w:val="2"/>
        <w:widowControl/>
        <w:spacing w:line="375" w:lineRule="atLeast"/>
      </w:pPr>
      <w:r>
        <w:rPr>
          <w:rFonts w:hint="eastAsia" w:ascii="宋体" w:hAnsi="宋体" w:eastAsia="宋体" w:cs="宋体"/>
          <w:color w:val="000000"/>
          <w:sz w:val="27"/>
          <w:szCs w:val="27"/>
        </w:rPr>
        <w:t>201</w:t>
      </w: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年度项目支出预算为1025万元</w:t>
      </w:r>
    </w:p>
    <w:p>
      <w:pPr>
        <w:pStyle w:val="2"/>
        <w:widowControl/>
        <w:spacing w:line="375" w:lineRule="atLeast"/>
      </w:pPr>
      <w:r>
        <w:rPr>
          <w:color w:val="000000"/>
          <w:sz w:val="18"/>
          <w:szCs w:val="18"/>
        </w:rPr>
        <w:t> </w:t>
      </w:r>
    </w:p>
    <w:p>
      <w:pPr>
        <w:pStyle w:val="2"/>
        <w:widowControl/>
        <w:spacing w:line="375" w:lineRule="atLeast"/>
        <w:rPr>
          <w:rFonts w:hint="eastAsia" w:ascii="黑体" w:hAnsi="黑体" w:eastAsia="黑体" w:cs="黑体"/>
        </w:rPr>
      </w:pPr>
      <w:r>
        <w:rPr>
          <w:rFonts w:hint="eastAsia" w:ascii="宋体" w:hAnsi="宋体" w:cs="宋体"/>
          <w:color w:val="000000"/>
          <w:sz w:val="27"/>
          <w:szCs w:val="27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>四、新密市人口和计划生育委员会201</w:t>
      </w:r>
      <w:r>
        <w:rPr>
          <w:rFonts w:hint="eastAsia" w:ascii="黑体" w:hAnsi="黑体" w:eastAsia="黑体" w:cs="黑体"/>
          <w:color w:val="000000"/>
          <w:sz w:val="27"/>
          <w:szCs w:val="27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27"/>
          <w:szCs w:val="27"/>
        </w:rPr>
        <w:t>年三公经费预算及增减原因说明</w:t>
      </w:r>
    </w:p>
    <w:tbl>
      <w:tblPr>
        <w:tblpPr w:vertAnchor="text" w:tblpXSpec="left" w:tblpYSpec="top"/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6"/>
        <w:gridCol w:w="958"/>
        <w:gridCol w:w="1567"/>
        <w:gridCol w:w="1423"/>
      </w:tblGrid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righ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right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单位：万元</w:t>
            </w:r>
          </w:p>
        </w:tc>
      </w:tr>
      <w:tr>
        <w:trPr>
          <w:trHeight w:val="903" w:hRule="atLeast"/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项       目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年预算数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年预算数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增减原因</w:t>
            </w:r>
          </w:p>
        </w:tc>
      </w:tr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合       计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25.2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1、因公出国（境）费用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与上年一样</w:t>
            </w:r>
          </w:p>
        </w:tc>
      </w:tr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2、公务接待费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6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5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按照八项规定厉行节约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万元</w:t>
            </w:r>
          </w:p>
        </w:tc>
      </w:tr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3、公车用车购置及运行维护费小计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19.2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公车改革减少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13.2万元</w:t>
            </w:r>
          </w:p>
        </w:tc>
      </w:tr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其中：（1）公务用车运行维护费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</w:pP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19.2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公车改革减少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13.2万元</w:t>
            </w:r>
          </w:p>
        </w:tc>
      </w:tr>
      <w:tr>
        <w:trPr>
          <w:tblCellSpacing w:w="0" w:type="dxa"/>
        </w:trPr>
        <w:tc>
          <w:tcPr>
            <w:tcW w:w="4356" w:type="dxa"/>
            <w:vAlign w:val="center"/>
          </w:tcPr>
          <w:p>
            <w:pPr>
              <w:pStyle w:val="2"/>
              <w:widowControl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   （2）公务用车购置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 xml:space="preserve">  </w:t>
            </w: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1423" w:type="dxa"/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与上年一样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2016-12-14T01:28:24Z</dcterms:modified>
  <dc:title>新密市人口和计划生育委员会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