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  <w:t>郑州市“双查验”公共场所名单</w:t>
      </w:r>
    </w:p>
    <w:bookmarkEnd w:id="0"/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  <w:t>（第一批）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（一）机场、火车站、汽车站、城市轨道交通站、城市公共汽车、出租汽车、网约车；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（二）剧本杀、密室逃脱等室内游艺娱乐场所和上网服务场所、歌舞娱乐场所、棋牌室（麻将馆）、室内健身运动场所；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（三）影剧院、文化馆、展览馆、博物馆、美术馆、图书馆、书店、会展中心；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（四）写字楼、办公场所、产业园区、机关、企事业单位；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（五）经营性住宿场所；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（六）商业综合体、商场、超市、农集贸市场、专业市场、邮政快递处理场所和网点；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（七）餐厅（馆）、咖啡馆、酒吧和茶座；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（八）银行、证券营业部；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（九）公共浴室、理发店、美容店、足浴店；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（十）医疗机构（急诊除外）、药店；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（十一）建筑业（工地）；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1" w:firstLineChars="151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（十二）教培机构、托幼机构、青少年活动中心（青少年宫）、社区党群服务中心、宗教活动场所。</w:t>
      </w:r>
    </w:p>
    <w:p/>
    <w:sectPr>
      <w:pgSz w:w="11906" w:h="16838"/>
      <w:pgMar w:top="2098" w:right="1474" w:bottom="1984" w:left="1587" w:header="0" w:footer="1701" w:gutter="0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031B6"/>
    <w:rsid w:val="2F70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2022-06-13T00:57:00Z</dcterms:created>
  <dc:creator>Administrator</dc:creator>
  <cp:lastModifiedBy>Administrator</cp:lastModifiedBy>
  <dcterms:modified xsi:type="dcterms:W3CDTF">2022-06-13T00:59:27Z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ED9833F68289447F8A9C904D844DEC81</vt:lpwstr>
  </property>
</Properties>
</file>